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9526</wp:posOffset>
            </wp:positionH>
            <wp:positionV relativeFrom="paragraph">
              <wp:posOffset>123825</wp:posOffset>
            </wp:positionV>
            <wp:extent cx="1285875" cy="314325"/>
            <wp:effectExtent b="0" l="0" r="0" t="0"/>
            <wp:wrapNone/>
            <wp:docPr descr="The VEX GO logo" id="2" name="image1.png"/>
            <a:graphic>
              <a:graphicData uri="http://schemas.openxmlformats.org/drawingml/2006/picture">
                <pic:pic>
                  <pic:nvPicPr>
                    <pic:cNvPr descr="The VEX GO logo" id="0" name="image1.png"/>
                    <pic:cNvPicPr preferRelativeResize="0"/>
                  </pic:nvPicPr>
                  <pic:blipFill>
                    <a:blip r:embed="rId6"/>
                    <a:srcRect b="-37500" l="-10365" r="-213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Style w:val="Title"/>
              <w:spacing w:line="276" w:lineRule="auto"/>
              <w:rPr>
                <w:color w:val="007078"/>
              </w:rPr>
            </w:pPr>
            <w:bookmarkStart w:colFirst="0" w:colLast="0" w:name="_uqz6eyucmr3k" w:id="0"/>
            <w:bookmarkEnd w:id="0"/>
            <w:r w:rsidDel="00000000" w:rsidR="00000000" w:rsidRPr="00000000">
              <w:rPr>
                <w:color w:val="007078"/>
                <w:rtl w:val="0"/>
              </w:rPr>
              <w:t xml:space="preserve">Instructor</w:t>
            </w:r>
            <w:r w:rsidDel="00000000" w:rsidR="00000000" w:rsidRPr="00000000">
              <w:rPr>
                <w:color w:val="007078"/>
                <w:rtl w:val="0"/>
              </w:rPr>
              <w:t xml:space="preserve"> Notes: </w:t>
              <w:br w:type="textWrapping"/>
            </w:r>
            <w:r w:rsidDel="00000000" w:rsidR="00000000" w:rsidRPr="00000000">
              <w:rPr>
                <w:color w:val="007078"/>
                <w:rtl w:val="0"/>
              </w:rPr>
              <w:t xml:space="preserve">VEX GO Activity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256931</wp:posOffset>
                  </wp:positionH>
                  <wp:positionV relativeFrom="paragraph">
                    <wp:posOffset>123825</wp:posOffset>
                  </wp:positionV>
                  <wp:extent cx="1676644" cy="219456"/>
                  <wp:effectExtent b="0" l="0" r="0" t="0"/>
                  <wp:wrapNone/>
                  <wp:docPr descr="The Girl Powered logo with a lightning bolt between the two words" id="1" name="image2.png"/>
                  <a:graphic>
                    <a:graphicData uri="http://schemas.openxmlformats.org/drawingml/2006/picture">
                      <pic:pic>
                        <pic:nvPicPr>
                          <pic:cNvPr descr="The Girl Powered logo with a lightning bolt between the two words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44" cy="219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rPr>
          <w:color w:val="00aeef"/>
          <w:sz w:val="36"/>
          <w:szCs w:val="36"/>
        </w:rPr>
      </w:pPr>
      <w:bookmarkStart w:colFirst="0" w:colLast="0" w:name="_7p1dyexofiw8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Your VEX GO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80" w:line="276" w:lineRule="auto"/>
        <w:rPr/>
      </w:pPr>
      <w:bookmarkStart w:colFirst="0" w:colLast="0" w:name="_ddag4zqd3tdy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aterials below are needed for each group for all activities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(recommended group size is two - three students):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GO Kit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screen and/or projector (optional — to project the student handout or other materials)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for each participant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 the VEX GO Brain and Battery Ready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activities that involve driving or coding a robot, each group will need: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7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 charged VEX GO Battery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named GO Brain with updated firmware.</w:t>
      </w:r>
      <w:r w:rsidDel="00000000" w:rsidR="00000000" w:rsidRPr="00000000">
        <w:rPr>
          <w:sz w:val="24"/>
          <w:szCs w:val="24"/>
          <w:rtl w:val="0"/>
        </w:rPr>
        <w:t xml:space="preserve"> Before running a VEX GO Activity, update each GO Brain and give it a unique name. This helps students quickly pair the correct Brain with VEXcode GO when the activity begins.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8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VEX Classroom App</w:t>
      </w:r>
      <w:r w:rsidDel="00000000" w:rsidR="00000000" w:rsidRPr="00000000">
        <w:rPr>
          <w:sz w:val="24"/>
          <w:szCs w:val="24"/>
          <w:rtl w:val="0"/>
        </w:rPr>
        <w:t xml:space="preserve"> is used to update the firmware on one or multiple GO Brains. It is also used to name each Brain.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See this article for instructions.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sz w:val="24"/>
          <w:szCs w:val="24"/>
          <w:rtl w:val="0"/>
        </w:rPr>
        <w:t xml:space="preserve"> If the activity only uses building pieces and does not use the GO Brain, this step is not needed.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0" w:before="0" w:line="276" w:lineRule="auto"/>
        <w:rPr>
          <w:sz w:val="24"/>
          <w:szCs w:val="24"/>
        </w:rPr>
      </w:pPr>
      <w:bookmarkStart w:colFirst="0" w:colLast="0" w:name="_vfrz0wknqw5t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GO, use the following articles to help you get started building: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Pieces in the VEX GO 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VEX GO Pin Tool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GO Interactive Parts Poster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 Instructions can be found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 this link.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need help getting started driving,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see this article.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varxszoslnbe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Your VEX GO Activity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GO Girl Powered activities follow the same structure.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d21vu4yr056n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Your VEX GO Activity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strategy-focused discussion, </w:t>
      </w:r>
      <w:r w:rsidDel="00000000" w:rsidR="00000000" w:rsidRPr="00000000">
        <w:rPr>
          <w:sz w:val="24"/>
          <w:szCs w:val="24"/>
          <w:rtl w:val="0"/>
        </w:rPr>
        <w:t xml:space="preserve">compare strategies to see how students approached the same challenge in different ways. Ask questions like: 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approach similar or different to yours? 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surprising you learned during the activity? 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another way this group could have completed the activity?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ask questions about how students worked together, like: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7">
      <w:pPr>
        <w:pStyle w:val="Heading2"/>
        <w:rPr>
          <w:sz w:val="32"/>
          <w:szCs w:val="32"/>
        </w:rPr>
      </w:pPr>
      <w:bookmarkStart w:colFirst="0" w:colLast="0" w:name="_qnf25l2smyem" w:id="6"/>
      <w:bookmarkEnd w:id="6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clean off the Fields and return loose parts to their VEX GO Kits.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intend to have students deconstruct robots and return parts to their Kits, allow extra time.</w:t>
      </w:r>
    </w:p>
    <w:p w:rsidR="00000000" w:rsidDel="00000000" w:rsidP="00000000" w:rsidRDefault="00000000" w:rsidRPr="00000000" w14:paraId="0000003A">
      <w:pPr>
        <w:pStyle w:val="Heading2"/>
        <w:rPr>
          <w:sz w:val="32"/>
          <w:szCs w:val="32"/>
        </w:rPr>
      </w:pPr>
      <w:bookmarkStart w:colFirst="0" w:colLast="0" w:name="_yv10wnaeogvb" w:id="7"/>
      <w:bookmarkEnd w:id="7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3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 certificates 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their names and the date, and any other details you would like to celebrate.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robots! </w:t>
      </w:r>
      <w:r w:rsidDel="00000000" w:rsidR="00000000" w:rsidRPr="00000000">
        <w:rPr>
          <w:sz w:val="24"/>
          <w:szCs w:val="24"/>
          <w:rtl w:val="0"/>
        </w:rPr>
        <w:t xml:space="preserve">Explain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b.vex.com/hc/en-us/articles/360047976292-Pieces-in-the-VEX-GO-Kit" TargetMode="External"/><Relationship Id="rId10" Type="http://schemas.openxmlformats.org/officeDocument/2006/relationships/hyperlink" Target="https://kb.vex.com/hc/en-us/articles/360048923252-Using-the-VEX-Classroom-App" TargetMode="External"/><Relationship Id="rId13" Type="http://schemas.openxmlformats.org/officeDocument/2006/relationships/hyperlink" Target="https://kb.vex.com/hc/en-us/articles/360055967272-VEX-GO-Interactive-Parts-Poster" TargetMode="External"/><Relationship Id="rId12" Type="http://schemas.openxmlformats.org/officeDocument/2006/relationships/hyperlink" Target="https://kb.vex.com/hc/en-us/articles/360048460151-Using-the-VEX-Pin-Tool-with-VEX-G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b.vex.com/hc/en-us/articles/4406898936724-Charging-the-VEX-IQ-2nd-gen-Battery" TargetMode="External"/><Relationship Id="rId15" Type="http://schemas.openxmlformats.org/officeDocument/2006/relationships/hyperlink" Target="https://kb.vex.com/hc/en-us/articles/360049495572-Using-the-Drive-Tab-in-VEXcode-GO" TargetMode="External"/><Relationship Id="rId14" Type="http://schemas.openxmlformats.org/officeDocument/2006/relationships/hyperlink" Target="https://www.vexrobotics.com/go/downloads/build-instructions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exrobotics.com/g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